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Visually impaired can mean a variety of things, including low vision, significant vision loss, and visual impairment. </w:t>
      </w:r>
      <w:r>
        <w:rPr>
          <w:sz w:val="28"/>
          <w:szCs w:val="28"/>
          <w:rtl w:val="0"/>
          <w:lang w:val="en-US"/>
        </w:rPr>
        <w:t>This could mean total vision loss, or partial visual loss. Visual impairments affect nearly 60,000 students in the United States. Many of these children are either non-readers, or can only read braille or by being accommodated with extremely large prints. These students may struggle significantly in the classroom, as well as adapting to a world that doesn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t always have these disabilities in mind. Some resources to look into are: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National Federation for the Blind:</w:t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"https://nfb.org"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https://nfb.org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Perkins School for the Blind:</w:t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"http://www.perkins.org"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http://www.perkins.org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For Teaching Students with Visual Impairments: </w:t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"http://www.teachingvisuallyimpaired.com/assistive-technology.html"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http://www.teachingvisuallyimpaired.com/assistive-technology.html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there are many helpful links within this website, including: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Tips on Computer Access:</w:t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"http://www.teachingvisuallyimpaired.com/computer-access.html"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http://www.teachingvisuallyimpaired.com/computer-access.html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Use of a Video Magnifier:</w:t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"http://www.teachingvisuallyimpaired.com/use-of-video-magnifier.html"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http://www.teachingvisuallyimpaired.com/use-of-video-magnifier.html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Accessing Audio Books:</w:t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"http://www.teachingvisuallyimpaired.com/accessing-audio-books.html"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http://www.teachingvisuallyimpaired.com/accessing-audio-books.html</w:t>
      </w:r>
      <w:r>
        <w:rPr>
          <w:sz w:val="28"/>
          <w:szCs w:val="28"/>
        </w:rPr>
        <w:fldChar w:fldCharType="end" w:fldLock="0"/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sz w:val="28"/>
      <w:szCs w:val="2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